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C7C84"/>
          <w:sz w:val="20"/>
        </w:rPr>
        <w:t>AGING IN THE COMFORT OF HOME®</w:t>
      </w:r>
    </w:p>
    <w:p/>
    <w:p>
      <w:pPr>
        <w:pStyle w:val="Title"/>
        <w:jc w:val="center"/>
      </w:pPr>
      <w:r>
        <w:rPr>
          <w:color w:val="0B2D5C"/>
          <w:sz w:val="48"/>
        </w:rPr>
        <w:t>Brand Use and Conduct Policy</w:t>
      </w:r>
    </w:p>
    <w:p>
      <w:pPr>
        <w:jc w:val="center"/>
      </w:pPr>
      <w:r>
        <w:rPr>
          <w:i/>
          <w:color w:val="4B5563"/>
          <w:sz w:val="22"/>
        </w:rPr>
        <w:t>Rules for limited brand-facing conduct, trademark protection, customer trust, and project professionalism.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Document Code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VIN-CTRL-06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Program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AITCOH Virtual Installer Network™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v1.0 Working Draft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Status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Internal control document; legal review required before use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Core Principle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Centralized AITCOH customer experience with certified local field execution</w:t>
            </w:r>
          </w:p>
        </w:tc>
      </w:tr>
    </w:tbl>
    <w:p/>
    <w:p>
      <w:pPr>
        <w:pStyle w:val="SmallNote"/>
      </w:pPr>
      <w:r>
        <w:rPr>
          <w:b/>
        </w:rPr>
        <w:t xml:space="preserve">Important: </w:t>
      </w:r>
      <w:r>
        <w:t>This document is a business-control draft, not legal advice. It should be reviewed by qualified construction, employment, franchise, insurance, licensing, and local-market counsel before execution or publication.</w:t>
      </w:r>
    </w:p>
    <w:p>
      <w:r>
        <w:br w:type="page"/>
      </w:r>
    </w:p>
    <w:p>
      <w:pPr>
        <w:pStyle w:val="Heading1"/>
      </w:pPr>
      <w:r>
        <w:t>1. Purpose</w:t>
      </w:r>
    </w:p>
    <w:p>
      <w:pPr>
        <w:pStyle w:val="DocBody"/>
      </w:pPr>
      <w:r>
        <w:t>This policy protects AITCOH’s customer experience, trademarks, reputation, and market identity while allowing approved Installer Partners to perform assigned project work in a clear, professional, and customer-safe manner.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B8CBD3"/>
          <w:left w:val="single" w:sz="6" w:space="0" w:color="B8CBD3"/>
          <w:bottom w:val="single" w:sz="6" w:space="0" w:color="B8CBD3"/>
          <w:right w:val="single" w:sz="6" w:space="0" w:color="B8CBD3"/>
          <w:insideH w:val="single" w:sz="6" w:space="0" w:color="B8CBD3"/>
          <w:insideV w:val="single" w:sz="6" w:space="0" w:color="B8CBD3"/>
        </w:tblBorders>
      </w:tblPr>
      <w:tblGrid>
        <w:gridCol w:w="10166"/>
      </w:tblGrid>
      <w:tr>
        <w:tc>
          <w:tcPr>
            <w:tcW w:type="dxa" w:w="10166"/>
            <w:shd w:fill="EEF4F7"/>
            <w:tcMar>
              <w:top w:w="140" w:type="dxa"/>
              <w:start w:w="140" w:type="dxa"/>
              <w:bottom w:w="140" w:type="dxa"/>
              <w:end w:w="140" w:type="dxa"/>
            </w:tcMar>
          </w:tcPr>
          <w:p>
            <w:pPr>
              <w:pStyle w:val="TableText"/>
            </w:pPr>
            <w:r>
              <w:rPr>
                <w:b/>
                <w:color w:val="0B2D5C"/>
              </w:rPr>
              <w:t>Brand Promise</w:t>
            </w:r>
            <w:r>
              <w:br/>
              <w:t>The installer can be local. The experience must always be AITCOH.</w:t>
            </w:r>
          </w:p>
        </w:tc>
      </w:tr>
    </w:tbl>
    <w:p/>
    <w:p>
      <w:pPr>
        <w:pStyle w:val="Heading1"/>
      </w:pPr>
      <w:r>
        <w:t>2. Approved Relationship Language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4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Use This Language</w:t>
            </w:r>
          </w:p>
        </w:tc>
        <w:tc>
          <w:tcPr>
            <w:tcW w:type="dxa" w:w="504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Do Not Use This Language</w:t>
            </w:r>
          </w:p>
        </w:tc>
      </w:tr>
      <w:tr>
        <w:tc>
          <w:tcPr>
            <w:tcW w:type="dxa" w:w="504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“I am an independent installer partner assigned to your AITCOH project.”</w:t>
            </w:r>
          </w:p>
        </w:tc>
        <w:tc>
          <w:tcPr>
            <w:tcW w:type="dxa" w:w="504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“I work for AITCOH.”</w:t>
            </w:r>
          </w:p>
        </w:tc>
      </w:tr>
      <w:tr>
        <w:tc>
          <w:tcPr>
            <w:tcW w:type="dxa" w:w="504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“AITCOH asked us to complete the approved installation scope.”</w:t>
            </w:r>
          </w:p>
        </w:tc>
        <w:tc>
          <w:tcPr>
            <w:tcW w:type="dxa" w:w="504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“I own the AITCOH office in this city.”</w:t>
            </w:r>
          </w:p>
        </w:tc>
      </w:tr>
      <w:tr>
        <w:tc>
          <w:tcPr>
            <w:tcW w:type="dxa" w:w="504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“AITCOH will handle proposal, change-order, and warranty coordination.”</w:t>
            </w:r>
          </w:p>
        </w:tc>
        <w:tc>
          <w:tcPr>
            <w:tcW w:type="dxa" w:w="504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“You can just pay me directly for extra AITCOH work.”</w:t>
            </w:r>
          </w:p>
        </w:tc>
      </w:tr>
      <w:tr>
        <w:tc>
          <w:tcPr>
            <w:tcW w:type="dxa" w:w="504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“I’ll document this and send it to AITCOH for approval.”</w:t>
            </w:r>
          </w:p>
        </w:tc>
        <w:tc>
          <w:tcPr>
            <w:tcW w:type="dxa" w:w="504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“I can approve this change myself.”</w:t>
            </w:r>
          </w:p>
        </w:tc>
      </w:tr>
    </w:tbl>
    <w:p/>
    <w:p>
      <w:pPr>
        <w:pStyle w:val="Heading1"/>
      </w:pPr>
      <w:r>
        <w:t>3. Limited Brand Use</w:t>
      </w:r>
    </w:p>
    <w:p>
      <w:pPr>
        <w:pStyle w:val="ListBullet"/>
      </w:pPr>
      <w:r>
        <w:t>Installer Partner may use AITCOH project documents only for assigned AITCOH jobs.</w:t>
      </w:r>
    </w:p>
    <w:p>
      <w:pPr>
        <w:pStyle w:val="ListBullet"/>
      </w:pPr>
      <w:r>
        <w:t>Installer Partner may not reproduce, modify, republish, or create derivative AITCOH materials without written approval.</w:t>
      </w:r>
    </w:p>
    <w:p>
      <w:pPr>
        <w:pStyle w:val="ListBullet"/>
      </w:pPr>
      <w:r>
        <w:t>Installer Partner may not register domain names, social media accounts, business listings, advertisements, or local pages using AITCOH or similar names.</w:t>
      </w:r>
    </w:p>
    <w:p>
      <w:pPr>
        <w:pStyle w:val="ListBullet"/>
      </w:pPr>
      <w:r>
        <w:t>Installer Partner may not use the AITCOH logo on vehicles, uniforms, signage, invoices, estimates, business cards, websites, or social media without written approval.</w:t>
      </w:r>
    </w:p>
    <w:p>
      <w:pPr>
        <w:pStyle w:val="Heading1"/>
      </w:pPr>
      <w:r>
        <w:t>4. Identification on Jobsite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Item</w:t>
            </w:r>
          </w:p>
        </w:tc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Policy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Badge / ID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may provide or approve project-specific identification stating independent installer partner status.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Uniform / apparel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Usually allowed only if clearly controlled and not employee-like; counsel and brand approval recommended.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Vehicle signage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Installer may use its own business signage. AITCOH branding on vehicle requires written approval.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Jobsite sign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AITCOH-controlled signage may be used when approved by customer and AITCOH.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Business cards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business cards should not be issued to installers.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Email address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employee-style email addresses should not be issued to installers.</w:t>
            </w:r>
          </w:p>
        </w:tc>
      </w:tr>
    </w:tbl>
    <w:p/>
    <w:p>
      <w:pPr>
        <w:pStyle w:val="Heading1"/>
      </w:pPr>
      <w:r>
        <w:t>5. Customer Conduct Standards</w:t>
      </w:r>
    </w:p>
    <w:p>
      <w:pPr>
        <w:pStyle w:val="ListBullet"/>
      </w:pPr>
      <w:r>
        <w:t>Treat every customer, family member, veteran, caregiver, referral partner, and occupant with patience, respect, and professionalism.</w:t>
      </w:r>
    </w:p>
    <w:p>
      <w:pPr>
        <w:pStyle w:val="ListBullet"/>
      </w:pPr>
      <w:r>
        <w:t>Arrive in a clean, safe, and appropriate condition for in-home service.</w:t>
      </w:r>
    </w:p>
    <w:p>
      <w:pPr>
        <w:pStyle w:val="ListBullet"/>
      </w:pPr>
      <w:r>
        <w:t>Keep language professional and avoid profanity, political argument, personal conflict, or unnecessary commentary inside the customer’s home.</w:t>
      </w:r>
    </w:p>
    <w:p>
      <w:pPr>
        <w:pStyle w:val="ListBullet"/>
      </w:pPr>
      <w:r>
        <w:t>Do not smoke, vape, consume alcohol, use drugs, or appear impaired on or near the jobsite.</w:t>
      </w:r>
    </w:p>
    <w:p>
      <w:pPr>
        <w:pStyle w:val="ListBullet"/>
      </w:pPr>
      <w:r>
        <w:t>Do not enter areas of the home outside the approved work area unless necessary and permitted by the customer.</w:t>
      </w:r>
    </w:p>
    <w:p>
      <w:pPr>
        <w:pStyle w:val="ListBullet"/>
      </w:pPr>
      <w:r>
        <w:t>Protect floors, walls, fixtures, and customer belongings where reasonably required by the project.</w:t>
      </w:r>
    </w:p>
    <w:p>
      <w:pPr>
        <w:pStyle w:val="ListBullet"/>
      </w:pPr>
      <w:r>
        <w:t>Leave the work area clean, safe, and customer-ready at the end of each workday where practical.</w:t>
      </w:r>
    </w:p>
    <w:p>
      <w:pPr>
        <w:pStyle w:val="Heading1"/>
      </w:pPr>
      <w:r>
        <w:t>6. Prohibited Conduct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Prohibited Conduct</w:t>
            </w:r>
          </w:p>
        </w:tc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Reason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Marketing or advertising as AITCOH without written approval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Trademark, franchise, and customer-confusion risk.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Selling extra work directly to an AITCOH customer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Customer relationship protection and change-order control.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Collecting unauthorized payments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Payment control and fraud prevention.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Changing scope without written approval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Contract compliance and dispute prevention.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Posting customer photos without approval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Privacy and brand reputation risk.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Criticizing the customer, referral partner, or AITCOH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Professionalism and customer trust.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Ignoring photo/checklist requirements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QA and warranty evidence failure.</w:t>
            </w:r>
          </w:p>
        </w:tc>
      </w:tr>
    </w:tbl>
    <w:p/>
    <w:p>
      <w:pPr>
        <w:pStyle w:val="Heading1"/>
      </w:pPr>
      <w:r>
        <w:t>7. Social Media, Reviews, and Photos</w:t>
      </w:r>
    </w:p>
    <w:p>
      <w:pPr>
        <w:pStyle w:val="ListBullet"/>
      </w:pPr>
      <w:r>
        <w:t>Installer Partner may not post project photos, customer names, addresses, stories, reviews, testimonials, or videos from AITCOH jobs without written approval.</w:t>
      </w:r>
    </w:p>
    <w:p>
      <w:pPr>
        <w:pStyle w:val="ListBullet"/>
      </w:pPr>
      <w:r>
        <w:t>AITCOH controls review-request timing and review destination for AITCOH customers.</w:t>
      </w:r>
    </w:p>
    <w:p>
      <w:pPr>
        <w:pStyle w:val="ListBullet"/>
      </w:pPr>
      <w:r>
        <w:t>Installer Partner may not ask AITCOH customers to review the installer’s separate business unless approved by AITCOH.</w:t>
      </w:r>
    </w:p>
    <w:p>
      <w:pPr>
        <w:pStyle w:val="ListBullet"/>
      </w:pPr>
      <w:r>
        <w:t>Before/after content may be used by AITCOH when customer consent and privacy standards are satisfied.</w:t>
      </w:r>
    </w:p>
    <w:p>
      <w:pPr>
        <w:pStyle w:val="Heading1"/>
      </w:pPr>
      <w:r>
        <w:t>8. Customer Trust and Sensitive Situations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Situation</w:t>
            </w:r>
          </w:p>
        </w:tc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Required Conduct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Customer is elderly or anxious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Slow down, explain clearly, avoid pressure, and contact AITCOH if the customer appears confused.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Family/caregiver disagreement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Do not take sides. Escalate to AITCOH.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Safety concern discovered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Document, make safe if needed, and notify AITCOH.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Customer requests price change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Direct the request to AITCOH. Do not quote unless authorized.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Complaint or dissatisfaction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Listen respectfully, do not argue, document, and escalate.</w:t>
            </w:r>
          </w:p>
        </w:tc>
      </w:tr>
    </w:tbl>
    <w:p/>
    <w:p>
      <w:pPr>
        <w:pStyle w:val="Heading1"/>
      </w:pPr>
      <w:r>
        <w:t>9. Breach Response</w:t>
      </w:r>
    </w:p>
    <w:p>
      <w:pPr>
        <w:pStyle w:val="ListBullet"/>
      </w:pPr>
      <w:r>
        <w:t>Minor first-time issue: coaching, written warning, and scorecard note.</w:t>
      </w:r>
    </w:p>
    <w:p>
      <w:pPr>
        <w:pStyle w:val="ListBullet"/>
      </w:pPr>
      <w:r>
        <w:t>Repeated documentation or communication issue: probation or temporary assignment hold.</w:t>
      </w:r>
    </w:p>
    <w:p>
      <w:pPr>
        <w:pStyle w:val="ListBullet"/>
      </w:pPr>
      <w:r>
        <w:t>Serious customer, safety, fraud, brand misuse, solicitation, or confidentiality issue: immediate suspension or removal.</w:t>
      </w:r>
    </w:p>
    <w:p>
      <w:pPr>
        <w:pStyle w:val="ListBullet"/>
      </w:pPr>
      <w:r>
        <w:t>AITCOH reserves the right to protect customers, brand, and active projects while investigating reported conduct concerns.</w:t>
      </w:r>
    </w:p>
    <w:p>
      <w:pPr>
        <w:pStyle w:val="Heading1"/>
      </w:pPr>
      <w:r>
        <w:t>Signature / Acknowledgment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2541"/>
        <w:gridCol w:w="2541"/>
        <w:gridCol w:w="2541"/>
        <w:gridCol w:w="2541"/>
      </w:tblGrid>
      <w:tr>
        <w:tc>
          <w:tcPr>
            <w:tcW w:type="dxa" w:w="2592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Party</w:t>
            </w:r>
          </w:p>
        </w:tc>
        <w:tc>
          <w:tcPr>
            <w:tcW w:type="dxa" w:w="302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Name / Title</w:t>
            </w:r>
          </w:p>
        </w:tc>
        <w:tc>
          <w:tcPr>
            <w:tcW w:type="dxa" w:w="288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Signature</w:t>
            </w:r>
          </w:p>
        </w:tc>
        <w:tc>
          <w:tcPr>
            <w:tcW w:type="dxa" w:w="158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Authorized Representative</w:t>
            </w:r>
          </w:p>
        </w:tc>
        <w:tc>
          <w:tcPr>
            <w:tcW w:type="dxa" w:w="30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158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Installer / Contractor</w:t>
            </w:r>
          </w:p>
        </w:tc>
        <w:tc>
          <w:tcPr>
            <w:tcW w:type="dxa" w:w="30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158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4B5563"/>
        <w:sz w:val="15"/>
      </w:rPr>
      <w:t>VIN-CTRL-06 · Working Draft · Counsel Review Required · Confidential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Arial" w:hAnsi="Arial"/>
        <w:b/>
        <w:color w:val="0B2D5C"/>
        <w:sz w:val="16"/>
      </w:rPr>
      <w:t>AGING IN THE COMFORT OF HOME®  |  AITCOH Virtual Installer Network™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111827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B2D5C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C7C8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11827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B2D5C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rial" w:hAnsi="Arial" w:eastAsia="Arial"/>
      <w:color w:val="4B5563"/>
      <w:sz w:val="17"/>
    </w:rPr>
  </w:style>
  <w:style w:type="paragraph" w:customStyle="1" w:styleId="DocBody">
    <w:name w:val="Doc Body"/>
    <w:pPr>
      <w:spacing w:after="100" w:line="252" w:lineRule="auto"/>
    </w:pPr>
    <w:rPr>
      <w:rFonts w:ascii="Arial" w:hAnsi="Arial" w:eastAsia="Arial"/>
      <w:color w:val="111827"/>
      <w:sz w:val="19"/>
    </w:rPr>
  </w:style>
  <w:style w:type="paragraph" w:customStyle="1" w:styleId="TableText">
    <w:name w:val="Table Text"/>
    <w:rPr>
      <w:rFonts w:ascii="Arial" w:hAnsi="Arial" w:eastAsia="Arial"/>
      <w:color w:val="111827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